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85B185C" w14:textId="77777777" w:rsidTr="00837AAB">
        <w:trPr>
          <w:jc w:val="center"/>
        </w:trPr>
        <w:tc>
          <w:tcPr>
            <w:tcW w:w="9571" w:type="dxa"/>
          </w:tcPr>
          <w:p w14:paraId="0D5CB366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51D4B842" w14:textId="77777777" w:rsidTr="00837AAB">
        <w:trPr>
          <w:jc w:val="center"/>
        </w:trPr>
        <w:tc>
          <w:tcPr>
            <w:tcW w:w="9574" w:type="dxa"/>
          </w:tcPr>
          <w:p w14:paraId="19C26621" w14:textId="77777777" w:rsidR="000218EC" w:rsidRPr="000218EC" w:rsidRDefault="00837AAB" w:rsidP="009656E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6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68ADA5A0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8B7C94F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6DB2C1E6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DC58B76" w14:textId="6BC0940D" w:rsidR="004B4AD8" w:rsidRDefault="004B4AD8" w:rsidP="004B4AD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31BC5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656A9A5" w14:textId="77777777" w:rsidR="00D31BC5" w:rsidRDefault="00D31BC5" w:rsidP="00D31BC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55B6F34F" w14:textId="77777777" w:rsidR="00D31BC5" w:rsidRDefault="00D31BC5" w:rsidP="00D31BC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66A10BC4" w14:textId="759A4162" w:rsidR="00D31BC5" w:rsidRPr="003607DD" w:rsidRDefault="00D31BC5" w:rsidP="00D31BC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9B11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021155" w14:textId="31154116" w:rsidR="009B1122" w:rsidRPr="009B1122" w:rsidRDefault="009B1122" w:rsidP="009B1122">
      <w:pPr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B1122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2F5F99FD" w14:textId="2EA48590" w:rsidR="009B1122" w:rsidRPr="009B1122" w:rsidRDefault="009B1122" w:rsidP="009B1122">
      <w:pPr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C15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Совета СРО «СОЮЗАТОМСТРОЙ</w:t>
      </w:r>
      <w:r w:rsidRPr="009B112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01A33A8C" w14:textId="4BE7D43B" w:rsidR="009B1122" w:rsidRPr="009B1122" w:rsidRDefault="009B1122" w:rsidP="009B11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№11</w:t>
      </w:r>
      <w:r w:rsidRPr="009B1122">
        <w:rPr>
          <w:rFonts w:ascii="Times New Roman" w:eastAsia="Calibri" w:hAnsi="Times New Roman" w:cs="Times New Roman"/>
          <w:sz w:val="28"/>
          <w:szCs w:val="28"/>
        </w:rPr>
        <w:t>/11-2023 от 3 ноября 2023 г.</w:t>
      </w:r>
    </w:p>
    <w:p w14:paraId="55FC97C1" w14:textId="77777777" w:rsidR="00D31BC5" w:rsidRPr="003607DD" w:rsidRDefault="00D31BC5" w:rsidP="004B4AD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E843843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16F28B2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792402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C03651" w14:textId="77777777" w:rsidR="00FC3AE2" w:rsidRPr="002F16CC" w:rsidRDefault="000218EC" w:rsidP="00730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C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EF07FEA" w14:textId="77777777" w:rsidR="00141223" w:rsidRPr="009656E7" w:rsidRDefault="00ED584A" w:rsidP="00C43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6E7">
        <w:rPr>
          <w:rFonts w:ascii="Times New Roman" w:hAnsi="Times New Roman" w:cs="Times New Roman"/>
          <w:sz w:val="28"/>
          <w:szCs w:val="28"/>
        </w:rPr>
        <w:t>СПЕЦИАЛИСТ ТЕХНИЧЕСКОГО ЗАКАЗЧИКА ПО ОРГАЦИЗАЦИИ СТРОИТЕЛЬСТВА</w:t>
      </w:r>
    </w:p>
    <w:p w14:paraId="6B682094" w14:textId="77777777" w:rsidR="00714A1C" w:rsidRPr="002F16CC" w:rsidRDefault="00714A1C" w:rsidP="00C432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6AF40" w14:textId="77777777" w:rsidR="00FC3AE2" w:rsidRPr="002F16CC" w:rsidRDefault="00141223" w:rsidP="000966F6">
      <w:pPr>
        <w:jc w:val="both"/>
        <w:rPr>
          <w:rFonts w:ascii="Times New Roman" w:hAnsi="Times New Roman" w:cs="Times New Roman"/>
          <w:sz w:val="28"/>
          <w:szCs w:val="28"/>
        </w:rPr>
      </w:pPr>
      <w:r w:rsidRPr="002F16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2F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2F16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6F6" w:rsidRPr="000966F6">
        <w:rPr>
          <w:rFonts w:ascii="Times New Roman" w:hAnsi="Times New Roman" w:cs="Times New Roman"/>
          <w:b/>
          <w:sz w:val="28"/>
          <w:szCs w:val="28"/>
        </w:rPr>
        <w:t>КС-С-019-2018</w:t>
      </w:r>
    </w:p>
    <w:p w14:paraId="3F6DE9DD" w14:textId="77777777" w:rsidR="00FC3AE2" w:rsidRPr="002F16CC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B1A54A" w14:textId="77777777" w:rsidR="000218EC" w:rsidRPr="002F16CC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6C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F1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2F16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2F16CC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2F16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1EF834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24A127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475332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4F9315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CA7860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78DC81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B034C7" w14:textId="77777777" w:rsidR="000218EC" w:rsidRPr="002F16C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FCA874" w14:textId="77777777" w:rsidR="00A53660" w:rsidRDefault="00A53660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D75C7C" w14:textId="77777777" w:rsidR="00A53660" w:rsidRDefault="00A53660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03BBB7" w14:textId="77777777" w:rsidR="000218EC" w:rsidRPr="002F16CC" w:rsidRDefault="000218EC" w:rsidP="00A53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46BAE1" w14:textId="77777777" w:rsidR="004C1595" w:rsidRDefault="004C1595" w:rsidP="00A53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453DF1" w14:textId="78A4A479" w:rsidR="00C80369" w:rsidRPr="002F16CC" w:rsidRDefault="00D84C0D" w:rsidP="00A53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6CC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2F16CC">
        <w:rPr>
          <w:rFonts w:ascii="Times New Roman" w:hAnsi="Times New Roman" w:cs="Times New Roman"/>
          <w:sz w:val="28"/>
          <w:szCs w:val="28"/>
        </w:rPr>
        <w:t>Москва</w:t>
      </w:r>
    </w:p>
    <w:p w14:paraId="7A65ED96" w14:textId="490D16F3" w:rsidR="00FC3AE2" w:rsidRPr="002F16CC" w:rsidRDefault="009B1122" w:rsidP="00A53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2F16C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5885AF" w14:textId="77777777" w:rsidR="009656E7" w:rsidRDefault="009656E7" w:rsidP="0096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D5D85" w14:textId="16363FB9" w:rsidR="00313A23" w:rsidRPr="008D5911" w:rsidRDefault="00313A23" w:rsidP="009B112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91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B1122">
        <w:rPr>
          <w:rFonts w:ascii="Times New Roman" w:hAnsi="Times New Roman" w:cs="Times New Roman"/>
          <w:b/>
          <w:sz w:val="28"/>
          <w:szCs w:val="28"/>
        </w:rPr>
        <w:t>.</w:t>
      </w:r>
    </w:p>
    <w:p w14:paraId="29C99414" w14:textId="7E348860" w:rsidR="000218EC" w:rsidRPr="00446D94" w:rsidRDefault="008B7A4C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67838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технического заказчика по организации строительства (далее специалист ТЗОС)</w:t>
      </w:r>
      <w:r w:rsidR="00C8784B" w:rsidRPr="00446D9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8D5911" w:rsidRPr="008D591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C8784B" w:rsidRPr="00446D94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446D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429829" w14:textId="6077E5E9" w:rsidR="000218EC" w:rsidRPr="00446D94" w:rsidRDefault="00DD225C" w:rsidP="009656E7">
      <w:pPr>
        <w:pStyle w:val="a4"/>
        <w:widowControl/>
        <w:ind w:firstLine="851"/>
        <w:jc w:val="both"/>
        <w:rPr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8B7A4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Настоящим </w:t>
      </w:r>
      <w:r w:rsidR="00313A23" w:rsidRPr="00446D94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8B7A4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ом устанавливаются требования к характеристикам </w:t>
      </w:r>
      <w:r w:rsidR="00313A23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(уровень </w:t>
      </w:r>
      <w:r w:rsidR="001D248B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знаний и умений), а также </w:t>
      </w:r>
      <w:proofErr w:type="gramStart"/>
      <w:r w:rsidR="001D248B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уровню </w:t>
      </w:r>
      <w:r w:rsidR="008D5911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proofErr w:type="gramEnd"/>
      <w:r w:rsidR="007F11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необходимых</w:t>
      </w:r>
      <w:r w:rsidR="00667838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специалисту ТЗОС</w:t>
      </w:r>
      <w:r w:rsidR="00313A23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446D94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667838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строительства объекта капитального строительства,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монтажа, наладки,</w:t>
      </w:r>
      <w:r w:rsidR="00667838" w:rsidRPr="00446D94">
        <w:rPr>
          <w:color w:val="auto"/>
          <w:sz w:val="28"/>
          <w:szCs w:val="28"/>
        </w:rPr>
        <w:t xml:space="preserve"> </w:t>
      </w:r>
      <w:r w:rsidR="00667838" w:rsidRPr="00446D94">
        <w:rPr>
          <w:rFonts w:ascii="Times New Roman" w:hAnsi="Times New Roman" w:cs="Times New Roman"/>
          <w:color w:val="auto"/>
          <w:sz w:val="28"/>
          <w:szCs w:val="28"/>
        </w:rPr>
        <w:t>реконструкции,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эксплуатации, утилизации (сноса):</w:t>
      </w:r>
    </w:p>
    <w:p w14:paraId="56D42F04" w14:textId="77777777" w:rsidR="000218EC" w:rsidRPr="00446D94" w:rsidRDefault="00DD45B3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251C894B" w14:textId="77777777" w:rsidR="000218EC" w:rsidRPr="00446D94" w:rsidRDefault="00DD45B3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52CBB7BE" w14:textId="77777777" w:rsidR="000218EC" w:rsidRPr="00446D94" w:rsidRDefault="00AB44D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6C54E862" w14:textId="054B8250" w:rsidR="005A31B3" w:rsidRPr="00446D94" w:rsidRDefault="00DD225C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446D94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446D94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446D9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3C66A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3C66A9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bookmarkStart w:id="0" w:name="_GoBack"/>
      <w:bookmarkEnd w:id="0"/>
      <w:r w:rsidR="00667838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ТЗОС</w:t>
      </w:r>
      <w:r w:rsidR="00B70FEA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C17BD" w:rsidRPr="00446D94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B36A93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proofErr w:type="gramEnd"/>
      <w:r w:rsidR="008D4838" w:rsidRPr="00446D9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63FB2E" w14:textId="77777777" w:rsidR="000218EC" w:rsidRPr="00446D94" w:rsidRDefault="00DD225C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446D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A7C5B0" w14:textId="77777777" w:rsidR="00DD225C" w:rsidRPr="00446D94" w:rsidRDefault="002F02AF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D57D0B2" w14:textId="77777777" w:rsidR="009656E7" w:rsidRDefault="009656E7" w:rsidP="009656E7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EE1BC0" w14:textId="0E82F744" w:rsidR="000218EC" w:rsidRPr="00C43207" w:rsidRDefault="00B03527" w:rsidP="00E5158C">
      <w:pPr>
        <w:pStyle w:val="a4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C43207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C432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667838" w:rsidRPr="00C432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ТЗОС</w:t>
      </w:r>
      <w:r w:rsidR="00E515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9E16981" w14:textId="2DF99CC7" w:rsidR="008E0C7E" w:rsidRPr="00E5158C" w:rsidRDefault="00E5158C" w:rsidP="00E5158C">
      <w:pPr>
        <w:pStyle w:val="a4"/>
        <w:widowControl/>
        <w:jc w:val="both"/>
        <w:rPr>
          <w:rFonts w:asciiTheme="minorHAnsi" w:hAnsiTheme="minorHAnsi"/>
          <w:sz w:val="28"/>
          <w:szCs w:val="28"/>
        </w:rPr>
      </w:pPr>
      <w:r w:rsidRPr="00E5158C">
        <w:rPr>
          <w:rFonts w:ascii="Times New Roman" w:hAnsi="Times New Roman" w:cs="Times New Roman"/>
          <w:sz w:val="28"/>
          <w:szCs w:val="28"/>
        </w:rPr>
        <w:t>Трудовыми функциями специалиста ТЗОС являются:</w:t>
      </w:r>
    </w:p>
    <w:p w14:paraId="07996251" w14:textId="77777777" w:rsidR="00876284" w:rsidRPr="00446D94" w:rsidRDefault="00357936" w:rsidP="00FE3626">
      <w:pPr>
        <w:pStyle w:val="FORMATTEXT"/>
        <w:tabs>
          <w:tab w:val="left" w:pos="1134"/>
          <w:tab w:val="left" w:pos="1276"/>
          <w:tab w:val="left" w:pos="1560"/>
        </w:tabs>
        <w:ind w:firstLine="851"/>
        <w:jc w:val="both"/>
        <w:rPr>
          <w:rFonts w:asciiTheme="minorHAnsi" w:hAnsiTheme="minorHAnsi"/>
          <w:sz w:val="28"/>
          <w:szCs w:val="28"/>
        </w:rPr>
      </w:pPr>
      <w:r w:rsidRPr="00446D94">
        <w:rPr>
          <w:rFonts w:ascii="Algerian" w:hAnsi="Algerian"/>
          <w:sz w:val="28"/>
          <w:szCs w:val="28"/>
        </w:rPr>
        <w:t xml:space="preserve"> </w:t>
      </w:r>
      <w:r w:rsidR="00876284" w:rsidRPr="00446D94">
        <w:rPr>
          <w:rFonts w:asciiTheme="minorHAnsi" w:hAnsiTheme="minorHAnsi"/>
          <w:sz w:val="28"/>
          <w:szCs w:val="28"/>
        </w:rPr>
        <w:t xml:space="preserve">- </w:t>
      </w:r>
      <w:r w:rsidRPr="00446D94">
        <w:rPr>
          <w:rFonts w:ascii="Times New Roman" w:hAnsi="Times New Roman" w:cs="Times New Roman"/>
          <w:sz w:val="28"/>
          <w:szCs w:val="28"/>
        </w:rPr>
        <w:t>организация</w:t>
      </w:r>
      <w:r w:rsidRPr="00446D94">
        <w:rPr>
          <w:rFonts w:ascii="Algerian" w:hAnsi="Algerian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sz w:val="28"/>
          <w:szCs w:val="28"/>
        </w:rPr>
        <w:t>строительства</w:t>
      </w:r>
      <w:r w:rsidRPr="00446D94">
        <w:rPr>
          <w:rFonts w:ascii="Algerian" w:hAnsi="Algerian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sz w:val="28"/>
          <w:szCs w:val="28"/>
        </w:rPr>
        <w:t>объекта</w:t>
      </w:r>
      <w:r w:rsidRPr="00446D94">
        <w:rPr>
          <w:rFonts w:ascii="Algerian" w:hAnsi="Algerian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sz w:val="28"/>
          <w:szCs w:val="28"/>
        </w:rPr>
        <w:t>капитального</w:t>
      </w:r>
      <w:r w:rsidRPr="00446D94">
        <w:rPr>
          <w:rFonts w:ascii="Algerian" w:hAnsi="Algerian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sz w:val="28"/>
          <w:szCs w:val="28"/>
        </w:rPr>
        <w:t>строительства</w:t>
      </w:r>
      <w:r w:rsidR="00876284" w:rsidRPr="00446D94">
        <w:rPr>
          <w:rFonts w:asciiTheme="minorHAnsi" w:hAnsiTheme="minorHAnsi"/>
          <w:sz w:val="28"/>
          <w:szCs w:val="28"/>
        </w:rPr>
        <w:t>;</w:t>
      </w:r>
    </w:p>
    <w:p w14:paraId="225D78D9" w14:textId="1178D43D" w:rsidR="00876284" w:rsidRPr="00446D94" w:rsidRDefault="00876284" w:rsidP="00FE3626">
      <w:pPr>
        <w:pStyle w:val="FORMATTEXT"/>
        <w:tabs>
          <w:tab w:val="left" w:pos="1134"/>
          <w:tab w:val="left" w:pos="1276"/>
          <w:tab w:val="left" w:pos="1560"/>
        </w:tabs>
        <w:ind w:firstLine="851"/>
        <w:jc w:val="both"/>
        <w:rPr>
          <w:rFonts w:asciiTheme="minorHAnsi" w:hAnsiTheme="minorHAnsi"/>
          <w:sz w:val="28"/>
          <w:szCs w:val="28"/>
        </w:rPr>
      </w:pPr>
      <w:r w:rsidRPr="00446D94">
        <w:rPr>
          <w:rFonts w:asciiTheme="minorHAnsi" w:hAnsiTheme="minorHAnsi"/>
          <w:sz w:val="28"/>
          <w:szCs w:val="28"/>
        </w:rPr>
        <w:t xml:space="preserve"> -</w:t>
      </w:r>
      <w:r w:rsidR="00FE3626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управление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реализацией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проекта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строительства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объекта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капитального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строительства</w:t>
      </w:r>
      <w:r w:rsidRPr="00446D94">
        <w:rPr>
          <w:rFonts w:asciiTheme="minorHAnsi" w:hAnsiTheme="minorHAnsi"/>
          <w:sz w:val="28"/>
          <w:szCs w:val="28"/>
        </w:rPr>
        <w:t>;</w:t>
      </w:r>
    </w:p>
    <w:p w14:paraId="76F1D1E1" w14:textId="77777777" w:rsidR="00274682" w:rsidRPr="00446D94" w:rsidRDefault="00876284" w:rsidP="00FE3626">
      <w:pPr>
        <w:pStyle w:val="FORMATTEXT"/>
        <w:tabs>
          <w:tab w:val="left" w:pos="1134"/>
          <w:tab w:val="left" w:pos="1276"/>
          <w:tab w:val="left" w:pos="1560"/>
        </w:tabs>
        <w:ind w:firstLine="851"/>
        <w:jc w:val="both"/>
        <w:rPr>
          <w:rFonts w:ascii="Algerian" w:hAnsi="Algerian"/>
          <w:sz w:val="28"/>
          <w:szCs w:val="28"/>
        </w:rPr>
      </w:pPr>
      <w:r w:rsidRPr="00446D94">
        <w:rPr>
          <w:rFonts w:asciiTheme="minorHAnsi" w:hAnsiTheme="minorHAnsi"/>
          <w:sz w:val="28"/>
          <w:szCs w:val="28"/>
        </w:rPr>
        <w:t xml:space="preserve"> -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обеспечение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ввода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в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эксплуатацию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объекта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капитального</w:t>
      </w:r>
      <w:r w:rsidR="00357936" w:rsidRPr="00446D94">
        <w:rPr>
          <w:rFonts w:ascii="Algerian" w:hAnsi="Algerian"/>
          <w:sz w:val="28"/>
          <w:szCs w:val="28"/>
        </w:rPr>
        <w:t xml:space="preserve"> </w:t>
      </w:r>
      <w:r w:rsidR="00357936" w:rsidRPr="00446D94">
        <w:rPr>
          <w:rFonts w:ascii="Times New Roman" w:hAnsi="Times New Roman" w:cs="Times New Roman"/>
          <w:sz w:val="28"/>
          <w:szCs w:val="28"/>
        </w:rPr>
        <w:t>строительства</w:t>
      </w:r>
      <w:r w:rsidRPr="00446D94">
        <w:rPr>
          <w:rFonts w:asciiTheme="minorHAnsi" w:hAnsiTheme="minorHAnsi"/>
          <w:sz w:val="28"/>
          <w:szCs w:val="28"/>
        </w:rPr>
        <w:t>.</w:t>
      </w:r>
      <w:r w:rsidR="002F1D7A" w:rsidRPr="00446D94">
        <w:rPr>
          <w:rFonts w:ascii="Algerian" w:hAnsi="Algerian"/>
          <w:sz w:val="28"/>
          <w:szCs w:val="28"/>
        </w:rPr>
        <w:t xml:space="preserve"> </w:t>
      </w:r>
    </w:p>
    <w:p w14:paraId="19673CD6" w14:textId="77777777" w:rsidR="009656E7" w:rsidRDefault="009656E7" w:rsidP="009656E7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959F62" w14:textId="5C004852" w:rsidR="00AA2E2E" w:rsidRPr="00C43207" w:rsidRDefault="00870654" w:rsidP="00E5158C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4320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C432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C4320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2B3901" w:rsidRPr="00C432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D3AC4" w:rsidRPr="00C43207">
        <w:rPr>
          <w:rFonts w:ascii="Times New Roman" w:hAnsi="Times New Roman" w:cs="Times New Roman"/>
          <w:b/>
          <w:color w:val="auto"/>
          <w:sz w:val="28"/>
          <w:szCs w:val="28"/>
        </w:rPr>
        <w:t>специалиста ТЗОС</w:t>
      </w:r>
      <w:r w:rsidR="00E515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A3E172D" w14:textId="77777777" w:rsidR="00690F1E" w:rsidRPr="00C43207" w:rsidRDefault="00870654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C43207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E94A7B" w:rsidRPr="00C432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D3AC4" w:rsidRPr="00C43207">
        <w:rPr>
          <w:rFonts w:ascii="Times New Roman" w:hAnsi="Times New Roman" w:cs="Times New Roman"/>
          <w:b/>
          <w:color w:val="auto"/>
          <w:sz w:val="28"/>
          <w:szCs w:val="28"/>
        </w:rPr>
        <w:t>Специалист ТЗОС</w:t>
      </w:r>
      <w:r w:rsidR="00A24E4E" w:rsidRPr="00C432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C43207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B0C0804" w14:textId="1E0A9499" w:rsidR="004179B5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Законы и иные нормативные правовые акты Российской </w:t>
      </w:r>
      <w:r w:rsidR="008D5911">
        <w:rPr>
          <w:rFonts w:ascii="Times New Roman" w:hAnsi="Times New Roman" w:cs="Times New Roman"/>
          <w:color w:val="auto"/>
          <w:sz w:val="28"/>
          <w:szCs w:val="28"/>
        </w:rPr>
        <w:t xml:space="preserve">Федерации 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о градостроительной деятельности.</w:t>
      </w:r>
    </w:p>
    <w:p w14:paraId="579C663B" w14:textId="77777777" w:rsidR="004179B5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 Российской Федерации, регулирующие деятельность технического заказчика.</w:t>
      </w:r>
    </w:p>
    <w:p w14:paraId="260ACB0A" w14:textId="77777777" w:rsidR="004179B5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Требования к форме и содержанию градостроительного плана земельного участка, устанавливаемым уполномоченным Правительством Российской Федерации федеральным органом исполнительной власти.</w:t>
      </w:r>
    </w:p>
    <w:p w14:paraId="071BFDCD" w14:textId="77777777" w:rsidR="004179B5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 к форме, содержанию и порядку согласования технических условий.</w:t>
      </w:r>
    </w:p>
    <w:p w14:paraId="57E459AB" w14:textId="77777777" w:rsidR="004179B5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строительства.</w:t>
      </w:r>
    </w:p>
    <w:p w14:paraId="6E50D7CD" w14:textId="77777777" w:rsidR="004179B5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 законода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>тельства Российской Федерации </w:t>
      </w:r>
      <w:r w:rsidR="004179B5" w:rsidRPr="00C43207">
        <w:rPr>
          <w:rFonts w:ascii="Times New Roman" w:hAnsi="Times New Roman" w:cs="Times New Roman"/>
          <w:color w:val="auto"/>
          <w:sz w:val="28"/>
          <w:szCs w:val="28"/>
        </w:rPr>
        <w:t>к составу исходно-разрешительной документации.</w:t>
      </w:r>
    </w:p>
    <w:p w14:paraId="2E73B5C8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Установленный законодательством Российской Федерации порядок утверждения и согласования Проекта.</w:t>
      </w:r>
    </w:p>
    <w:p w14:paraId="2811791F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экспертизы проектно-сметной документации и результатов инженерных изысканий.</w:t>
      </w:r>
    </w:p>
    <w:p w14:paraId="41606E55" w14:textId="018A194B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DF7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7801" w:rsidRPr="008D5911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 нормоконтроля проектной документации, установленный руководящей</w:t>
      </w:r>
      <w:r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РД</w:t>
      </w:r>
      <w:r w:rsidRPr="00C4320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D5911">
        <w:rPr>
          <w:rFonts w:ascii="Times New Roman" w:hAnsi="Times New Roman" w:cs="Times New Roman"/>
          <w:color w:val="auto"/>
          <w:sz w:val="28"/>
          <w:szCs w:val="28"/>
        </w:rPr>
        <w:t xml:space="preserve"> и методической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документацией</w:t>
      </w:r>
      <w:r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МДС</w:t>
      </w:r>
      <w:r w:rsidRPr="00C4320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строительства.</w:t>
      </w:r>
    </w:p>
    <w:p w14:paraId="2B758514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Технология проектирования в строительстве.</w:t>
      </w:r>
    </w:p>
    <w:p w14:paraId="567F0DB5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технология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строительного производства.</w:t>
      </w:r>
    </w:p>
    <w:p w14:paraId="633DB07E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строительства.</w:t>
      </w:r>
    </w:p>
    <w:p w14:paraId="50A8C683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Требования законода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тельства Российской Федерации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к составу проектной документации.</w:t>
      </w:r>
    </w:p>
    <w:p w14:paraId="75D46947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строительного контроля.</w:t>
      </w:r>
    </w:p>
    <w:p w14:paraId="70D7B2E4" w14:textId="77777777" w:rsidR="00A85142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142" w:rsidRPr="00C43207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РФ в сфере энергосервиса и энергосбережений.</w:t>
      </w:r>
    </w:p>
    <w:p w14:paraId="1DF6B676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 трудового права.</w:t>
      </w:r>
    </w:p>
    <w:p w14:paraId="1CC29A6C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 гражданского и административного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права.</w:t>
      </w:r>
    </w:p>
    <w:p w14:paraId="70AAD4A2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Требования к форме и содержанию исполнительной документации.</w:t>
      </w:r>
    </w:p>
    <w:p w14:paraId="64AC3BEB" w14:textId="77777777" w:rsidR="005C7C1D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5C7C1D" w:rsidRPr="00C43207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E8383F5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Требования к форме и содержанию плану производства геодезических работ.</w:t>
      </w:r>
    </w:p>
    <w:p w14:paraId="566A22D2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выноса в натуру линий регулирования застройки.</w:t>
      </w:r>
    </w:p>
    <w:p w14:paraId="40C6C3CE" w14:textId="77777777" w:rsidR="00885920" w:rsidRPr="00C43207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 по приемке законченного строительством объекта капитального строительства.</w:t>
      </w:r>
    </w:p>
    <w:p w14:paraId="245296CC" w14:textId="232962C7" w:rsidR="00885920" w:rsidRDefault="0087628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207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C432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920" w:rsidRPr="00C43207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 по вводу в эксплуатацию объекта капитального строительства.</w:t>
      </w:r>
    </w:p>
    <w:p w14:paraId="05BF34AD" w14:textId="1E5AC7E8" w:rsidR="00DF7801" w:rsidRPr="00C43207" w:rsidRDefault="00DF7801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911">
        <w:rPr>
          <w:rFonts w:ascii="Times New Roman" w:hAnsi="Times New Roman" w:cs="Times New Roman"/>
          <w:color w:val="auto"/>
          <w:sz w:val="28"/>
          <w:szCs w:val="28"/>
        </w:rPr>
        <w:t>3.1.24. Требования законодательства Российской Федерации в области обеспечения единства измерений, в</w:t>
      </w:r>
      <w:r w:rsidR="00393D9D" w:rsidRPr="008D59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911">
        <w:rPr>
          <w:rFonts w:ascii="Times New Roman" w:hAnsi="Times New Roman" w:cs="Times New Roman"/>
          <w:color w:val="auto"/>
          <w:sz w:val="28"/>
          <w:szCs w:val="28"/>
        </w:rPr>
        <w:t>т.ч. особенности системы</w:t>
      </w:r>
      <w:r w:rsidR="00393D9D" w:rsidRPr="008D5911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метрологического обеспечения в атомной отрасли.</w:t>
      </w:r>
    </w:p>
    <w:p w14:paraId="4DEE6051" w14:textId="77777777" w:rsidR="00517936" w:rsidRPr="009A1C60" w:rsidRDefault="00870654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9A1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6D3AC4" w:rsidRPr="009A1C60">
        <w:rPr>
          <w:rFonts w:ascii="Times New Roman" w:hAnsi="Times New Roman" w:cs="Times New Roman"/>
          <w:b/>
          <w:color w:val="auto"/>
          <w:sz w:val="28"/>
          <w:szCs w:val="28"/>
        </w:rPr>
        <w:t>Специалист ТЗОС</w:t>
      </w:r>
      <w:r w:rsidR="00517936" w:rsidRPr="009A1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4CF1F53E" w14:textId="77777777" w:rsidR="008D3E18" w:rsidRPr="009A1C60" w:rsidRDefault="003E1750" w:rsidP="009656E7">
      <w:pPr>
        <w:pStyle w:val="a4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3.2.1.</w:t>
      </w:r>
      <w:r w:rsidR="009656E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D3E18"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Применять необходимые нормативно-правовые документы.</w:t>
      </w:r>
    </w:p>
    <w:p w14:paraId="795A21FD" w14:textId="77777777" w:rsidR="008D3E18" w:rsidRPr="009A1C60" w:rsidRDefault="003E1750" w:rsidP="009656E7">
      <w:pPr>
        <w:pStyle w:val="a4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3.2.2.</w:t>
      </w:r>
      <w:r w:rsidR="003C6F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D3E18"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Составлять документы для получения ИРД.</w:t>
      </w:r>
    </w:p>
    <w:p w14:paraId="11D6D848" w14:textId="77777777" w:rsidR="008D3E18" w:rsidRPr="009A1C60" w:rsidRDefault="003E1750" w:rsidP="009656E7">
      <w:pPr>
        <w:pStyle w:val="a4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3.2.3.</w:t>
      </w:r>
      <w:r w:rsidR="003C6F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D3E18"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Применять необходимые нормативно-правовые документы.</w:t>
      </w:r>
    </w:p>
    <w:p w14:paraId="7A33EEE3" w14:textId="77777777" w:rsidR="008D3E18" w:rsidRPr="009A1C60" w:rsidRDefault="003E1750" w:rsidP="009656E7">
      <w:pPr>
        <w:pStyle w:val="a4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3E18" w:rsidRPr="009A1C60">
        <w:rPr>
          <w:rFonts w:ascii="Times New Roman" w:hAnsi="Times New Roman" w:cs="Times New Roman"/>
          <w:color w:val="auto"/>
          <w:sz w:val="28"/>
          <w:szCs w:val="28"/>
        </w:rPr>
        <w:t>Проверять состав проектной и рабочей документации.</w:t>
      </w:r>
    </w:p>
    <w:p w14:paraId="3560652A" w14:textId="77777777" w:rsidR="008D3E18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3.2.5.</w:t>
      </w:r>
      <w:r w:rsidR="003C6F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D3E18"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Составлять документы для получения права ограниченного пользования соседними участками на время строительства.</w:t>
      </w:r>
    </w:p>
    <w:p w14:paraId="4E15C8E9" w14:textId="77777777" w:rsidR="009A5E9B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>3.2.6.</w:t>
      </w:r>
      <w:r w:rsidR="009656E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D3E18" w:rsidRPr="009A1C6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Составлять документы для получения </w:t>
      </w:r>
      <w:r w:rsidR="008D3E18" w:rsidRPr="009A1C60">
        <w:rPr>
          <w:rFonts w:ascii="Times New Roman" w:hAnsi="Times New Roman" w:cs="Times New Roman"/>
          <w:color w:val="auto"/>
          <w:sz w:val="28"/>
          <w:szCs w:val="28"/>
        </w:rPr>
        <w:t>согласование проведения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объектов культурного наследия в установленном законодательством порядке.</w:t>
      </w:r>
    </w:p>
    <w:p w14:paraId="34C96584" w14:textId="77777777" w:rsidR="007D3CF3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3CF3" w:rsidRPr="009A1C60">
        <w:rPr>
          <w:rFonts w:ascii="Times New Roman" w:hAnsi="Times New Roman" w:cs="Times New Roman"/>
          <w:color w:val="auto"/>
          <w:sz w:val="28"/>
          <w:szCs w:val="28"/>
        </w:rPr>
        <w:t>Выявлять нарушения и несоответствия в геодезической разбивочной основе. Составлять акты о несоответствии и на его основании предъявлять претензии.</w:t>
      </w:r>
    </w:p>
    <w:p w14:paraId="2D484EBF" w14:textId="77777777" w:rsidR="007D3CF3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3CF3" w:rsidRPr="009A1C60">
        <w:rPr>
          <w:rFonts w:ascii="Times New Roman" w:hAnsi="Times New Roman" w:cs="Times New Roman"/>
          <w:color w:val="auto"/>
          <w:sz w:val="28"/>
          <w:szCs w:val="28"/>
        </w:rPr>
        <w:t>Формировать комплект документов по инженерным изысканиям, проектной документации для передачи лицу, осуществляющему строительство.</w:t>
      </w:r>
    </w:p>
    <w:p w14:paraId="4A01CE67" w14:textId="77777777" w:rsidR="007D3CF3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3CF3" w:rsidRPr="009A1C60">
        <w:rPr>
          <w:rFonts w:ascii="Times New Roman" w:hAnsi="Times New Roman" w:cs="Times New Roman"/>
          <w:color w:val="auto"/>
          <w:sz w:val="28"/>
          <w:szCs w:val="28"/>
        </w:rPr>
        <w:t>Определять потребность требуемого количества, профессионального и квалификационного состава работников в соответствии с производственными заданиями и календарными планами.</w:t>
      </w:r>
    </w:p>
    <w:p w14:paraId="4258172A" w14:textId="77777777" w:rsidR="008D3E18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Определять оптимальную структуру распределения работников для выполнения производственных заданий и отдельных работ.</w:t>
      </w:r>
    </w:p>
    <w:p w14:paraId="487D869E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Оценивать результативность и качество выполнения работниками производственных заданий и отдельных работ.</w:t>
      </w:r>
    </w:p>
    <w:p w14:paraId="12A22581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Контролировать выполнение производственных заданий и отдельных работ.</w:t>
      </w:r>
    </w:p>
    <w:p w14:paraId="718591FD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Оценивать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профессиональную квалификацию работников и определять недостающие компетенции.</w:t>
      </w:r>
    </w:p>
    <w:p w14:paraId="2C3E85BB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Использовать вычислительную и иную вспомогательную технику, средства связи и коммуникаций.</w:t>
      </w:r>
    </w:p>
    <w:p w14:paraId="759D2348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Использовать измерительную аппаратуру контроля свойств строительных материалов и изделий.</w:t>
      </w:r>
    </w:p>
    <w:p w14:paraId="285F84E2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Анализировать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исполнительную документацию и выявление несоответствий в ней.</w:t>
      </w:r>
    </w:p>
    <w:p w14:paraId="7379922A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Анализировать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результаты проверки качест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ва строительно-монтажных работ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и принятия по ним решений.</w:t>
      </w:r>
    </w:p>
    <w:p w14:paraId="19E93AB7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3.2.18.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Принимать обоснованные решения о приостановлении строительства объекта по результатам проверок.</w:t>
      </w:r>
    </w:p>
    <w:p w14:paraId="237E2FDC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3.2.19.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Вести переговоры с подрядными организациями.</w:t>
      </w:r>
    </w:p>
    <w:p w14:paraId="3AFED94C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3.2.20.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Определять цели и задачи взаимодействия с подрядными организациями. Выявлять нарушения и несоответствия.</w:t>
      </w:r>
    </w:p>
    <w:p w14:paraId="5DE3124C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3.2.21.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акты о несоответствии и на их основании предъявлять претензии подрядным организациям.</w:t>
      </w:r>
    </w:p>
    <w:p w14:paraId="6B41D7B5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3.2.22.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Определять приоритетность процессов при взаимодействии с подрядными организациями, надзорными органами, органами власти.</w:t>
      </w:r>
    </w:p>
    <w:p w14:paraId="57FD1C62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3.2.23.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Выстраивать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эффективные коммуникации в процессе реализации проекта строительства.</w:t>
      </w:r>
    </w:p>
    <w:p w14:paraId="2436CF85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3.2.24.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Анализировать разработанные нормативные документы.</w:t>
      </w:r>
    </w:p>
    <w:p w14:paraId="65C3D4B7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3.2.25.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Учитывать имеющиеся ресурсы.</w:t>
      </w:r>
    </w:p>
    <w:p w14:paraId="24C4618D" w14:textId="54E98763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3.2.26.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Отстаивать и</w:t>
      </w:r>
      <w:r w:rsidR="008D5911">
        <w:rPr>
          <w:rFonts w:ascii="Times New Roman" w:hAnsi="Times New Roman" w:cs="Times New Roman"/>
          <w:color w:val="auto"/>
          <w:sz w:val="28"/>
          <w:szCs w:val="28"/>
        </w:rPr>
        <w:t xml:space="preserve">нтересы технического заказчика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по основным направлениям деятельности.</w:t>
      </w:r>
    </w:p>
    <w:p w14:paraId="1CDF155F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3.2.27.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Принимать решения о необходимости консервации объекта или приостановке работ.</w:t>
      </w:r>
    </w:p>
    <w:p w14:paraId="3543AB5D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3.2.28.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Готовить документы, подтверждающие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ресурсов.</w:t>
      </w:r>
    </w:p>
    <w:p w14:paraId="0011DE10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3.2.29.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Готовить документы для согласования с представителями организаций, осуществляющих эксплуатацию сетей инженерно-технического обеспечения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подтверждающих соответствие построенного, реконструированного объекта капитального строительства ранее выданным техническим условиям.</w:t>
      </w:r>
    </w:p>
    <w:p w14:paraId="4880C608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3.2.30.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схемы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 xml:space="preserve"> отражающие расположение построенного, реконструированного, отремонтированного объекта капитального строительства.</w:t>
      </w:r>
    </w:p>
    <w:p w14:paraId="0F39FFEC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3.2.31.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51D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схемы расположения сетей инженерно-технического обеспечения в границах земельного участка.</w:t>
      </w:r>
    </w:p>
    <w:p w14:paraId="3F1BA7C6" w14:textId="77777777" w:rsidR="00C80369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3.2.32.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 xml:space="preserve">Составлять схемы планировочной организации земельного участка </w:t>
      </w:r>
    </w:p>
    <w:p w14:paraId="230022C2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3.2.33.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документы для получения заключения государственного строительного надзора.</w:t>
      </w:r>
    </w:p>
    <w:p w14:paraId="57423F6C" w14:textId="77777777" w:rsidR="00C80369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3.2.34.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документы для получения заключения государственного экологического надзора.</w:t>
      </w:r>
    </w:p>
    <w:p w14:paraId="2387EEFF" w14:textId="77777777" w:rsidR="00C80369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3.2.35.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документы на выдачу разрешения на ввод объекта капитального строительства в эксплуатацию</w:t>
      </w:r>
    </w:p>
    <w:p w14:paraId="30E88188" w14:textId="77777777" w:rsidR="00CF651D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3.2.36.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документы для постановки на государственный учет объекта капитального строительства.</w:t>
      </w:r>
    </w:p>
    <w:p w14:paraId="62BE1087" w14:textId="77777777" w:rsidR="00C80369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3.2.37.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документы для внесения изменений в документы государственного учета реконструированного объекта капитального строительства.</w:t>
      </w:r>
    </w:p>
    <w:p w14:paraId="308CE7E1" w14:textId="447503E9" w:rsidR="00C80369" w:rsidRPr="009A1C60" w:rsidRDefault="003E1750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color w:val="auto"/>
          <w:sz w:val="28"/>
          <w:szCs w:val="28"/>
        </w:rPr>
        <w:t>3.2.38.</w:t>
      </w:r>
      <w:r w:rsidR="00FE36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0369" w:rsidRPr="009A1C60">
        <w:rPr>
          <w:rFonts w:ascii="Times New Roman" w:hAnsi="Times New Roman" w:cs="Times New Roman"/>
          <w:color w:val="auto"/>
          <w:sz w:val="28"/>
          <w:szCs w:val="28"/>
        </w:rPr>
        <w:t>Составлять документы для подтверждения выполнения требований по энергоэффективности зданий.</w:t>
      </w:r>
    </w:p>
    <w:p w14:paraId="28A87E9A" w14:textId="77777777" w:rsidR="00CF651D" w:rsidRPr="00446D94" w:rsidRDefault="00CF651D" w:rsidP="009656E7">
      <w:pPr>
        <w:pStyle w:val="a4"/>
        <w:ind w:firstLine="851"/>
        <w:jc w:val="both"/>
        <w:rPr>
          <w:rFonts w:ascii="Algerian" w:hAnsi="Algerian"/>
          <w:color w:val="auto"/>
          <w:sz w:val="28"/>
          <w:szCs w:val="28"/>
        </w:rPr>
      </w:pPr>
    </w:p>
    <w:p w14:paraId="39D3BFF7" w14:textId="168BDBFB" w:rsidR="00F42620" w:rsidRPr="009A1C60" w:rsidRDefault="009656E7" w:rsidP="00E5158C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9A1C60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34855" w:rsidRPr="009A1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D3AC4" w:rsidRPr="009A1C60">
        <w:rPr>
          <w:rFonts w:ascii="Times New Roman" w:hAnsi="Times New Roman" w:cs="Times New Roman"/>
          <w:b/>
          <w:color w:val="auto"/>
          <w:sz w:val="28"/>
          <w:szCs w:val="28"/>
        </w:rPr>
        <w:t>специалиста ТЗОС</w:t>
      </w:r>
      <w:r w:rsidR="00E515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035087F" w14:textId="77777777" w:rsidR="00F42620" w:rsidRPr="009A1C60" w:rsidRDefault="00CD2B08" w:rsidP="009656E7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1C60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9A1C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A1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9A1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9A1C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D93B6DF" w14:textId="16D4422B" w:rsidR="00BF62D4" w:rsidRPr="00446D94" w:rsidRDefault="00BF62D4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8D591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F7801" w:rsidRPr="008D591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8D5911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DF7801" w:rsidRPr="008D591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D5911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DF7801" w:rsidRPr="008D591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D5911" w:rsidRPr="008D59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911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DF7801" w:rsidRPr="008D5911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8D5911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8E0C7E" w:rsidRPr="008D591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26D" w:rsidRPr="008D591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и комплексная механизация строительства 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 0638), автомобильные дороги (код 1211), автомобильные дороги и аэродромы (коды 270205, 291000), архитектура (коды 07.03.01, 07.04.01,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E36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14.05.02,141403), атомные электрические  станции и установки (коды 101000,140404), ато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(коды 0310,10.10), безопасность технологических процес</w:t>
      </w:r>
      <w:r w:rsidR="00FE3626">
        <w:rPr>
          <w:rFonts w:ascii="Times New Roman" w:hAnsi="Times New Roman" w:cs="Times New Roman"/>
          <w:color w:val="auto"/>
          <w:sz w:val="28"/>
          <w:szCs w:val="28"/>
        </w:rPr>
        <w:t xml:space="preserve">сов и производств (по отраслям)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(код 280102), водоснабжение и водоотведение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(коды 270112,290800),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водоснабжение и канализация (код 1209), водоснабжение, канализация, рациональное использование и охрана водных ресурсов (код 29.08), высоковольтная элект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>роэнергетика и электротехника (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коды 071600,140201), высокотехнологические плазменные и энергетические установки (коды 140600,16.03.02,16.04.02), газотурбинные, паротурбинные установки и двигатели (коды 101400,140503), гидравлические машины, гидроприводы и гидропневмоавтоматика (код 121100), гидротехническое строительство (коды 270104,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3C6F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271000), дизайн архитектурной среды (коды 07.03.03, 07.04.03, 07.09.03, 270300,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(210701,11.05.04), конструирование и технология  радиоэлектронных средств (код 23.03), конструирование и технология  электронных средств (коды 11.03.03,11.04.03,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ование природных ресурсов (коды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25.13,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320700), применение и эксплуатация автоматизированных систем специального назначения (коды 09.05.01, 230106), проектирование зданий (коды 270114,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реконструкция и реставрация архитектурного наследия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(коды 270200,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07.09.02),системы автоматического проектирования (коды 220300,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550100,653500), телеграфная и телефонная связь (код 702), телекоммуникации (коды 210400,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550400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электрообеспе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(коды 140107,13.05.01), тепловые электрические станции (коды 0305,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экономика и управление на предприятии (по отраслям) </w:t>
      </w:r>
      <w:r w:rsidR="009656E7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(коды 060800,</w:t>
      </w:r>
      <w:r w:rsidR="009A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080502), электроснабж</w:t>
      </w:r>
      <w:r w:rsidR="003E1750" w:rsidRPr="00446D94">
        <w:rPr>
          <w:rFonts w:ascii="Times New Roman" w:hAnsi="Times New Roman" w:cs="Times New Roman"/>
          <w:color w:val="auto"/>
          <w:sz w:val="28"/>
          <w:szCs w:val="28"/>
        </w:rPr>
        <w:t>ение (коды 100400,10.04,140211);</w:t>
      </w:r>
    </w:p>
    <w:p w14:paraId="16DB4E79" w14:textId="77777777" w:rsidR="002248AD" w:rsidRPr="00446D94" w:rsidRDefault="00CD2B08" w:rsidP="009656E7">
      <w:pPr>
        <w:pStyle w:val="a4"/>
        <w:widowControl/>
        <w:ind w:firstLine="851"/>
        <w:jc w:val="both"/>
        <w:rPr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по организации строительства объекта капитального строительства, монтажа, наладки,</w:t>
      </w:r>
      <w:r w:rsidR="008E0C7E" w:rsidRPr="00446D94">
        <w:rPr>
          <w:color w:val="auto"/>
          <w:sz w:val="28"/>
          <w:szCs w:val="28"/>
        </w:rPr>
        <w:t xml:space="preserve"> 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реконструкции, эксплуатации, утилизации (сноса) - </w:t>
      </w:r>
      <w:r w:rsidR="004B4C2A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7E599C8" w14:textId="77777777" w:rsidR="002248AD" w:rsidRPr="00446D94" w:rsidRDefault="00CD2B08" w:rsidP="009656E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E4942C7" w14:textId="1F405341" w:rsidR="002248AD" w:rsidRPr="00446D94" w:rsidRDefault="00F42620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8D59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446D94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по организации строительства объекта капитального строительства, монтажа, наладки,</w:t>
      </w:r>
      <w:r w:rsidR="008E0C7E" w:rsidRPr="00446D94">
        <w:rPr>
          <w:color w:val="auto"/>
          <w:sz w:val="28"/>
          <w:szCs w:val="28"/>
        </w:rPr>
        <w:t xml:space="preserve"> </w:t>
      </w:r>
      <w:r w:rsidR="008E0C7E" w:rsidRPr="00446D94">
        <w:rPr>
          <w:rFonts w:ascii="Times New Roman" w:hAnsi="Times New Roman" w:cs="Times New Roman"/>
          <w:color w:val="auto"/>
          <w:sz w:val="28"/>
          <w:szCs w:val="28"/>
        </w:rPr>
        <w:t>реконструкции, э</w:t>
      </w:r>
      <w:r w:rsidR="008D5911">
        <w:rPr>
          <w:rFonts w:ascii="Times New Roman" w:hAnsi="Times New Roman" w:cs="Times New Roman"/>
          <w:color w:val="auto"/>
          <w:sz w:val="28"/>
          <w:szCs w:val="28"/>
        </w:rPr>
        <w:t xml:space="preserve">ксплуатации, утилизации (сноса) – не менее </w:t>
      </w:r>
      <w:r w:rsidR="00087E22">
        <w:rPr>
          <w:rFonts w:ascii="Times New Roman" w:hAnsi="Times New Roman" w:cs="Times New Roman"/>
          <w:color w:val="auto"/>
          <w:sz w:val="28"/>
          <w:szCs w:val="28"/>
        </w:rPr>
        <w:t>пяти лет.</w:t>
      </w:r>
    </w:p>
    <w:p w14:paraId="2ED9E42A" w14:textId="77777777" w:rsidR="000841BA" w:rsidRPr="00446D94" w:rsidRDefault="000841BA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446D9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A69AB94" w14:textId="0A49FAD4" w:rsidR="002248AD" w:rsidRPr="00446D94" w:rsidRDefault="002248AD" w:rsidP="009B112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446D94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9B1122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4313FA39" w14:textId="10399DFF" w:rsidR="009B1122" w:rsidRDefault="009B1122" w:rsidP="009B112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                    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оценки квалификации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 w:rsidR="00E5158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физическом лице (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специалист ТЗОС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7073472D" w14:textId="5A7F92A3" w:rsidR="009B1122" w:rsidRPr="009B1122" w:rsidRDefault="009B1122" w:rsidP="009B112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122">
        <w:rPr>
          <w:rFonts w:ascii="Times New Roman" w:hAnsi="Times New Roman" w:cs="Times New Roman"/>
          <w:sz w:val="28"/>
          <w:szCs w:val="28"/>
        </w:rPr>
        <w:t xml:space="preserve">- специалист ТЗОС, прошедший независимую оценку </w:t>
      </w:r>
      <w:proofErr w:type="gramStart"/>
      <w:r w:rsidRPr="009B1122">
        <w:rPr>
          <w:rFonts w:ascii="Times New Roman" w:hAnsi="Times New Roman" w:cs="Times New Roman"/>
          <w:sz w:val="28"/>
          <w:szCs w:val="28"/>
        </w:rPr>
        <w:t xml:space="preserve">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1122">
        <w:rPr>
          <w:rFonts w:ascii="Times New Roman" w:hAnsi="Times New Roman"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122">
        <w:rPr>
          <w:rFonts w:ascii="Times New Roman" w:hAnsi="Times New Roman" w:cs="Times New Roman"/>
          <w:sz w:val="28"/>
          <w:szCs w:val="28"/>
        </w:rPr>
        <w:t xml:space="preserve"> освобождается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1122">
        <w:rPr>
          <w:rFonts w:ascii="Times New Roman" w:hAnsi="Times New Roman"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                            </w:t>
      </w:r>
      <w:r w:rsidRPr="009B112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ascii="Times New Roman" w:hAnsi="Times New Roman" w:cs="Times New Roman"/>
          <w:sz w:val="28"/>
          <w:szCs w:val="28"/>
        </w:rPr>
        <w:t>СТРОЙ</w:t>
      </w:r>
      <w:r w:rsidRPr="009B1122">
        <w:rPr>
          <w:rFonts w:ascii="Times New Roman" w:hAnsi="Times New Roman" w:cs="Times New Roman"/>
          <w:sz w:val="28"/>
          <w:szCs w:val="28"/>
        </w:rPr>
        <w:t>»).</w:t>
      </w:r>
    </w:p>
    <w:p w14:paraId="12E7F980" w14:textId="77777777" w:rsidR="009656E7" w:rsidRDefault="009656E7" w:rsidP="009656E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685B67D5" w14:textId="0D6EFC42" w:rsidR="005774E6" w:rsidRPr="00446D94" w:rsidRDefault="005774E6" w:rsidP="00E5158C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446D9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446D94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34855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BBE" w:rsidRPr="009A1C60">
        <w:rPr>
          <w:rFonts w:ascii="Times New Roman" w:hAnsi="Times New Roman" w:cs="Times New Roman"/>
          <w:b/>
          <w:color w:val="auto"/>
          <w:sz w:val="28"/>
          <w:szCs w:val="28"/>
        </w:rPr>
        <w:t>специалиста ТЗОС</w:t>
      </w:r>
      <w:r w:rsidR="00E515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72B7A8F" w14:textId="263E5F6C" w:rsidR="00FC3AE2" w:rsidRPr="00446D94" w:rsidRDefault="005774E6" w:rsidP="009656E7">
      <w:pPr>
        <w:pStyle w:val="a4"/>
        <w:ind w:firstLine="851"/>
        <w:jc w:val="both"/>
        <w:rPr>
          <w:color w:val="auto"/>
          <w:sz w:val="28"/>
          <w:szCs w:val="28"/>
        </w:rPr>
      </w:pPr>
      <w:r w:rsidRPr="00446D9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446D9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446D94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B34855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446D94">
        <w:rPr>
          <w:rFonts w:ascii="Times New Roman" w:hAnsi="Times New Roman" w:cs="Times New Roman"/>
          <w:color w:val="auto"/>
          <w:sz w:val="28"/>
          <w:szCs w:val="28"/>
        </w:rPr>
        <w:t>специалиста ТЗОС</w:t>
      </w:r>
      <w:r w:rsidR="00E51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446D9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446D9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446D94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446D94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D9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446D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446D94">
        <w:rPr>
          <w:color w:val="auto"/>
          <w:sz w:val="28"/>
          <w:szCs w:val="28"/>
        </w:rPr>
        <w:t xml:space="preserve">             </w:t>
      </w:r>
    </w:p>
    <w:p w14:paraId="0A09BC1C" w14:textId="77777777" w:rsidR="00FC3AE2" w:rsidRPr="00446D94" w:rsidRDefault="00FC3AE2" w:rsidP="00FC3AE2">
      <w:pPr>
        <w:spacing w:after="0"/>
        <w:rPr>
          <w:sz w:val="28"/>
          <w:szCs w:val="28"/>
        </w:rPr>
      </w:pPr>
      <w:r w:rsidRPr="00446D94">
        <w:rPr>
          <w:sz w:val="28"/>
          <w:szCs w:val="28"/>
        </w:rPr>
        <w:t xml:space="preserve">                                        </w:t>
      </w:r>
    </w:p>
    <w:sectPr w:rsidR="00FC3AE2" w:rsidRPr="00446D94" w:rsidSect="000218E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2087305"/>
    <w:multiLevelType w:val="hybridMultilevel"/>
    <w:tmpl w:val="5364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732B2"/>
    <w:rsid w:val="0008241D"/>
    <w:rsid w:val="000824D0"/>
    <w:rsid w:val="000841BA"/>
    <w:rsid w:val="00087E22"/>
    <w:rsid w:val="000966F6"/>
    <w:rsid w:val="000C17BD"/>
    <w:rsid w:val="000C72E9"/>
    <w:rsid w:val="000D231D"/>
    <w:rsid w:val="000E403A"/>
    <w:rsid w:val="00106ADC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B6138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B3901"/>
    <w:rsid w:val="002D2859"/>
    <w:rsid w:val="002E183F"/>
    <w:rsid w:val="002F02AF"/>
    <w:rsid w:val="002F16CC"/>
    <w:rsid w:val="002F1D7A"/>
    <w:rsid w:val="00310213"/>
    <w:rsid w:val="00313A23"/>
    <w:rsid w:val="00315CBD"/>
    <w:rsid w:val="0032595B"/>
    <w:rsid w:val="00325BAC"/>
    <w:rsid w:val="003452C6"/>
    <w:rsid w:val="00356DF6"/>
    <w:rsid w:val="00357936"/>
    <w:rsid w:val="003607DD"/>
    <w:rsid w:val="00380DE7"/>
    <w:rsid w:val="00382E58"/>
    <w:rsid w:val="00393738"/>
    <w:rsid w:val="00393D9D"/>
    <w:rsid w:val="003970D4"/>
    <w:rsid w:val="003A5066"/>
    <w:rsid w:val="003A5897"/>
    <w:rsid w:val="003A79CB"/>
    <w:rsid w:val="003C66A9"/>
    <w:rsid w:val="003C6F70"/>
    <w:rsid w:val="003E1750"/>
    <w:rsid w:val="004179B5"/>
    <w:rsid w:val="00426629"/>
    <w:rsid w:val="0043589C"/>
    <w:rsid w:val="00446D94"/>
    <w:rsid w:val="00456C65"/>
    <w:rsid w:val="0046171E"/>
    <w:rsid w:val="00490BBE"/>
    <w:rsid w:val="0049376E"/>
    <w:rsid w:val="00494D31"/>
    <w:rsid w:val="004A7C21"/>
    <w:rsid w:val="004B4AD8"/>
    <w:rsid w:val="004B4C2A"/>
    <w:rsid w:val="004C1595"/>
    <w:rsid w:val="004C6CBE"/>
    <w:rsid w:val="00517936"/>
    <w:rsid w:val="005201AE"/>
    <w:rsid w:val="00526DAE"/>
    <w:rsid w:val="00541B06"/>
    <w:rsid w:val="00545FDF"/>
    <w:rsid w:val="00571AE5"/>
    <w:rsid w:val="005740D7"/>
    <w:rsid w:val="005774E6"/>
    <w:rsid w:val="00577A46"/>
    <w:rsid w:val="00596044"/>
    <w:rsid w:val="005A31B3"/>
    <w:rsid w:val="005C7C1D"/>
    <w:rsid w:val="00620830"/>
    <w:rsid w:val="00621A64"/>
    <w:rsid w:val="00631BDD"/>
    <w:rsid w:val="006350D7"/>
    <w:rsid w:val="006524A8"/>
    <w:rsid w:val="00667838"/>
    <w:rsid w:val="00690F1E"/>
    <w:rsid w:val="006928DB"/>
    <w:rsid w:val="006D3AC4"/>
    <w:rsid w:val="00714481"/>
    <w:rsid w:val="00714A1C"/>
    <w:rsid w:val="00721BE3"/>
    <w:rsid w:val="00722384"/>
    <w:rsid w:val="007302DB"/>
    <w:rsid w:val="00746F80"/>
    <w:rsid w:val="00755C4D"/>
    <w:rsid w:val="0076435B"/>
    <w:rsid w:val="00767596"/>
    <w:rsid w:val="00794704"/>
    <w:rsid w:val="007B49D6"/>
    <w:rsid w:val="007C1788"/>
    <w:rsid w:val="007C209D"/>
    <w:rsid w:val="007D3CF3"/>
    <w:rsid w:val="007D40E9"/>
    <w:rsid w:val="007F114E"/>
    <w:rsid w:val="00822CDD"/>
    <w:rsid w:val="008310F8"/>
    <w:rsid w:val="0083641A"/>
    <w:rsid w:val="00837AAB"/>
    <w:rsid w:val="00851624"/>
    <w:rsid w:val="00870654"/>
    <w:rsid w:val="0087628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D5911"/>
    <w:rsid w:val="008E0404"/>
    <w:rsid w:val="008E0C7E"/>
    <w:rsid w:val="008E68CF"/>
    <w:rsid w:val="00940222"/>
    <w:rsid w:val="0094552B"/>
    <w:rsid w:val="0096496F"/>
    <w:rsid w:val="009656E7"/>
    <w:rsid w:val="00971A3C"/>
    <w:rsid w:val="00981DFE"/>
    <w:rsid w:val="00984AF7"/>
    <w:rsid w:val="009A1C60"/>
    <w:rsid w:val="009A5E9B"/>
    <w:rsid w:val="009B1122"/>
    <w:rsid w:val="009C4CDE"/>
    <w:rsid w:val="00A24E4E"/>
    <w:rsid w:val="00A53660"/>
    <w:rsid w:val="00A73C8E"/>
    <w:rsid w:val="00A74664"/>
    <w:rsid w:val="00A85142"/>
    <w:rsid w:val="00A95D61"/>
    <w:rsid w:val="00AA2E2E"/>
    <w:rsid w:val="00AA7516"/>
    <w:rsid w:val="00AB44D4"/>
    <w:rsid w:val="00AE1A99"/>
    <w:rsid w:val="00B03527"/>
    <w:rsid w:val="00B06EDC"/>
    <w:rsid w:val="00B27C21"/>
    <w:rsid w:val="00B34855"/>
    <w:rsid w:val="00B36A93"/>
    <w:rsid w:val="00B40A00"/>
    <w:rsid w:val="00B43185"/>
    <w:rsid w:val="00B4678E"/>
    <w:rsid w:val="00B57230"/>
    <w:rsid w:val="00B63044"/>
    <w:rsid w:val="00B70FEA"/>
    <w:rsid w:val="00BA36F7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41E14"/>
    <w:rsid w:val="00C43207"/>
    <w:rsid w:val="00C47834"/>
    <w:rsid w:val="00C67B57"/>
    <w:rsid w:val="00C74C6C"/>
    <w:rsid w:val="00C75BDB"/>
    <w:rsid w:val="00C80369"/>
    <w:rsid w:val="00C82BDD"/>
    <w:rsid w:val="00C86723"/>
    <w:rsid w:val="00C8784B"/>
    <w:rsid w:val="00CA3FA1"/>
    <w:rsid w:val="00CD2B08"/>
    <w:rsid w:val="00CD3DDA"/>
    <w:rsid w:val="00CE7424"/>
    <w:rsid w:val="00CF243A"/>
    <w:rsid w:val="00CF651D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1BC5"/>
    <w:rsid w:val="00D34E38"/>
    <w:rsid w:val="00D61EAB"/>
    <w:rsid w:val="00D6346C"/>
    <w:rsid w:val="00D65621"/>
    <w:rsid w:val="00D7326D"/>
    <w:rsid w:val="00D76AA0"/>
    <w:rsid w:val="00D84C0D"/>
    <w:rsid w:val="00D96291"/>
    <w:rsid w:val="00DB616B"/>
    <w:rsid w:val="00DD225C"/>
    <w:rsid w:val="00DD45B3"/>
    <w:rsid w:val="00DD7611"/>
    <w:rsid w:val="00DE70FA"/>
    <w:rsid w:val="00DF7801"/>
    <w:rsid w:val="00E30CC5"/>
    <w:rsid w:val="00E41C36"/>
    <w:rsid w:val="00E5158C"/>
    <w:rsid w:val="00E7643B"/>
    <w:rsid w:val="00E82347"/>
    <w:rsid w:val="00E94A7B"/>
    <w:rsid w:val="00ED420D"/>
    <w:rsid w:val="00ED584A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C3AF1"/>
    <w:rsid w:val="00FE1E91"/>
    <w:rsid w:val="00FE3626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E066"/>
  <w15:docId w15:val="{3A14E65D-9B80-4E85-963D-6D449F5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03A4-7364-4A84-9B96-BE911F56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41</cp:revision>
  <dcterms:created xsi:type="dcterms:W3CDTF">2018-04-22T10:00:00Z</dcterms:created>
  <dcterms:modified xsi:type="dcterms:W3CDTF">2023-11-03T07:36:00Z</dcterms:modified>
</cp:coreProperties>
</file>