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4E2AD2" w:rsidRPr="00022EA1" w:rsidRDefault="004E2AD2" w:rsidP="004E2AD2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866F3C" w:rsidRDefault="00866F3C" w:rsidP="00866F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 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Pr="006E7BF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E7BFD">
        <w:rPr>
          <w:rFonts w:eastAsia="Calibri" w:cs="Times New Roman"/>
          <w:color w:val="auto"/>
          <w:sz w:val="28"/>
          <w:szCs w:val="28"/>
        </w:rPr>
        <w:t>2018 г.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</w:t>
      </w: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4E2AD2" w:rsidRDefault="00D92D39" w:rsidP="004E2AD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     </w:t>
      </w:r>
      <w:r w:rsidR="004E2AD2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4E2AD2" w:rsidRPr="006F4F90">
        <w:rPr>
          <w:rFonts w:eastAsia="Calibri" w:cs="Times New Roman"/>
          <w:color w:val="auto"/>
          <w:sz w:val="28"/>
          <w:szCs w:val="28"/>
        </w:rPr>
        <w:t>201</w:t>
      </w:r>
      <w:r w:rsidR="004E2AD2">
        <w:rPr>
          <w:rFonts w:eastAsia="Calibri" w:cs="Times New Roman"/>
          <w:color w:val="auto"/>
          <w:sz w:val="28"/>
          <w:szCs w:val="28"/>
        </w:rPr>
        <w:t>9</w:t>
      </w:r>
      <w:r w:rsidR="004E2AD2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701C64" w:rsidRDefault="00D92D39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ТЕХНИЧЕСКИЙ </w:t>
      </w:r>
      <w:r w:rsidR="001A7DDD">
        <w:rPr>
          <w:rFonts w:ascii="Times New Roman" w:hAnsi="Times New Roman" w:cs="Times New Roman"/>
          <w:smallCaps/>
          <w:color w:val="auto"/>
          <w:sz w:val="28"/>
          <w:szCs w:val="28"/>
        </w:rPr>
        <w:t>ДИРЕКТОР (ГЛАВНЫЙ ИНЖЕНЕР</w:t>
      </w:r>
      <w:r w:rsidR="008D7208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1A7DDD">
        <w:rPr>
          <w:rFonts w:cs="Times New Roman"/>
          <w:b/>
          <w:color w:val="auto"/>
          <w:sz w:val="28"/>
          <w:szCs w:val="28"/>
          <w:lang w:eastAsia="en-US"/>
        </w:rPr>
        <w:t>-003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Pr="00BE11E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92D39" w:rsidRDefault="00D92D39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D92D39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926060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0" w:name="_Toc434482465"/>
      <w:bookmarkStart w:id="1" w:name="_Toc460838801"/>
    </w:p>
    <w:p w:rsidR="00337D05" w:rsidRPr="00D92D39" w:rsidRDefault="00337D05" w:rsidP="00D92D39">
      <w:pPr>
        <w:pStyle w:val="10"/>
        <w:numPr>
          <w:ilvl w:val="0"/>
          <w:numId w:val="8"/>
        </w:numPr>
        <w:spacing w:before="0" w:after="0"/>
        <w:ind w:left="0" w:firstLine="0"/>
        <w:jc w:val="both"/>
        <w:rPr>
          <w:szCs w:val="28"/>
        </w:rPr>
      </w:pPr>
      <w:r w:rsidRPr="00D92D39">
        <w:rPr>
          <w:szCs w:val="28"/>
        </w:rPr>
        <w:t>Общие положения</w:t>
      </w:r>
      <w:bookmarkEnd w:id="0"/>
      <w:bookmarkEnd w:id="1"/>
    </w:p>
    <w:p w:rsidR="00092A84" w:rsidRPr="00D92D39" w:rsidRDefault="00092A84" w:rsidP="00D92D39">
      <w:pPr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D92D39" w:rsidRDefault="00092A84" w:rsidP="00D92D3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1.1. Настоящий стандарт предназначен для проведения оценки соответствия квалификации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(главного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инженера)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строительной организации,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«г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лавный инженер</w:t>
      </w:r>
      <w:r w:rsidR="008D7208" w:rsidRPr="00D92D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A3DE0" w:rsidRPr="00D9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выполняемой в порядке,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 требованиями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D92D39" w:rsidRDefault="00440FBD" w:rsidP="00D92D3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- особо опасных, технически сложных и </w:t>
      </w:r>
      <w:r w:rsidR="00D22102">
        <w:rPr>
          <w:rFonts w:cs="Times New Roman"/>
          <w:color w:val="auto"/>
          <w:sz w:val="28"/>
          <w:szCs w:val="28"/>
        </w:rPr>
        <w:t xml:space="preserve">уникальных </w:t>
      </w:r>
      <w:r w:rsidRPr="00D92D39">
        <w:rPr>
          <w:rFonts w:cs="Times New Roman"/>
          <w:color w:val="auto"/>
          <w:sz w:val="28"/>
          <w:szCs w:val="28"/>
        </w:rPr>
        <w:t xml:space="preserve">объектов, </w:t>
      </w:r>
      <w:r w:rsidR="00D92D39">
        <w:rPr>
          <w:rFonts w:cs="Times New Roman"/>
          <w:color w:val="auto"/>
          <w:sz w:val="28"/>
          <w:szCs w:val="28"/>
        </w:rPr>
        <w:t xml:space="preserve">                              </w:t>
      </w:r>
      <w:r w:rsidRPr="00D92D39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D92D39" w:rsidRDefault="00440FBD" w:rsidP="00D92D39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D92D39" w:rsidRDefault="00064EA3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D92D39" w:rsidRDefault="00064EA3" w:rsidP="00D92D39">
      <w:pPr>
        <w:pStyle w:val="aa"/>
        <w:widowControl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1.4. С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D92D39" w:rsidRDefault="00D92D39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D92D39" w:rsidRDefault="00A50C1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2102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F5BE3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8F5BE3" w:rsidRPr="00D92D39" w:rsidRDefault="008F5BE3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работы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управлению реализацией проекта строительства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и обеспечению ввода его в эксплуатацию: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координация работы по строительству (реконст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рукции, капитальному ремонту) о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бъекта капитального строительства.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Обеспечение соблюдение требований проектной документации, технических регламентов, техники безопасности.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с подрядными организациями, надзорными органами, органами власти.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Принятие решений о начале, приостановке, консервации, прекращении строительства, о вводе законченного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2.5.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меро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приятий по приемке законченного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объекта капитального строительства.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Предъявление законченного объекта капитального строительства органам государственного строительного надзора.</w:t>
      </w:r>
    </w:p>
    <w:p w:rsidR="0081489F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Обращение в уполномоченную организацию для ввода объекта капитального ст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:rsidR="001E0934" w:rsidRPr="00D92D39" w:rsidRDefault="001E0934" w:rsidP="00D92D39">
      <w:pPr>
        <w:pStyle w:val="aa"/>
        <w:widowControl/>
        <w:ind w:left="12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D92D39" w:rsidRDefault="00483327" w:rsidP="00135A8F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DB74AD" w:rsidRPr="00D92D39" w:rsidRDefault="00DB74AD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76FF" w:rsidRPr="00D92D39" w:rsidRDefault="00483327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</w:t>
      </w:r>
      <w:r w:rsidR="00135A8F">
        <w:rPr>
          <w:rFonts w:ascii="Times New Roman" w:hAnsi="Times New Roman" w:cs="Times New Roman"/>
          <w:sz w:val="28"/>
          <w:szCs w:val="28"/>
        </w:rPr>
        <w:t xml:space="preserve">овые акты Российской Федерации </w:t>
      </w:r>
      <w:r w:rsidR="00104104" w:rsidRPr="00D92D39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EB76FF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регулирующие деятельность технического заказчика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градостроительного плана земельного участка, устанавливаемым уполномоченным Правительством Российской Федерации федеральным органом исполнительной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форме, содержанию и порядку согласования технических условий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9362D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Особенности строительства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опасных, технически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 сложных и уникальных объектов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строительства, в том числе объектов использования атомной энергии.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D92D3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 Российской Федерации   к составу исходно-разрешительной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 порядок утверждения и согласования Проекта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3.1.10.</w:t>
      </w:r>
      <w:r w:rsidR="00135A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нормоконтроля проектной документации, установленный руководящей (РД) и методической   документацией (МДС)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Технология проектирования в строительстве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Организация и технология  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3.1.13.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Требования к форме и содержанию </w:t>
      </w:r>
      <w:r w:rsidRPr="00D92D39">
        <w:rPr>
          <w:rFonts w:ascii="Times New Roman" w:hAnsi="Times New Roman" w:cs="Times New Roman"/>
          <w:sz w:val="28"/>
          <w:szCs w:val="28"/>
        </w:rPr>
        <w:t>плана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производства геодезических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выноса в натуру линий регулирования застройки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 в области</w:t>
      </w:r>
      <w:r w:rsidRPr="00D92D39">
        <w:rPr>
          <w:rFonts w:ascii="Times New Roman" w:hAnsi="Times New Roman" w:cs="Times New Roman"/>
          <w:sz w:val="28"/>
          <w:szCs w:val="28"/>
        </w:rPr>
        <w:t xml:space="preserve"> трудового,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гражданского и административного </w:t>
      </w:r>
      <w:r w:rsidR="00DA5C99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EB76FF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строительного контроля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приемке законченного строительством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3.1.18.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исполнительной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Знание технологии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вводу в эксплуатацию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927AEF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3.1.21.</w:t>
      </w:r>
      <w:r w:rsidR="00D22102">
        <w:rPr>
          <w:rFonts w:ascii="Times New Roman" w:hAnsi="Times New Roman" w:cs="Times New Roman"/>
          <w:sz w:val="28"/>
          <w:szCs w:val="28"/>
        </w:rPr>
        <w:t xml:space="preserve"> Законы </w:t>
      </w:r>
      <w:r w:rsidR="00080171" w:rsidRPr="00D92D39">
        <w:rPr>
          <w:rFonts w:ascii="Times New Roman" w:hAnsi="Times New Roman" w:cs="Times New Roman"/>
          <w:sz w:val="28"/>
          <w:szCs w:val="28"/>
        </w:rPr>
        <w:t>и иные нормативные правовые акты Р</w:t>
      </w:r>
      <w:r w:rsidR="00135A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0171" w:rsidRPr="00D92D39">
        <w:rPr>
          <w:rFonts w:ascii="Times New Roman" w:hAnsi="Times New Roman" w:cs="Times New Roman"/>
          <w:sz w:val="28"/>
          <w:szCs w:val="28"/>
        </w:rPr>
        <w:t>Ф</w:t>
      </w:r>
      <w:r w:rsidR="00135A8F">
        <w:rPr>
          <w:rFonts w:ascii="Times New Roman" w:hAnsi="Times New Roman" w:cs="Times New Roman"/>
          <w:sz w:val="28"/>
          <w:szCs w:val="28"/>
        </w:rPr>
        <w:t>едерации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в сфере энергосервиса и энергосбережений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9114A1" w:rsidRPr="00D92D39" w:rsidRDefault="009114A1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D92D39" w:rsidRDefault="005B212C" w:rsidP="00D92D3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3327"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6003C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3.2.1.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Применять необходимые нормативно-правовые документы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3.2.2.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eastAsia="Calibri" w:hAnsi="Times New Roman" w:cs="Times New Roman"/>
          <w:sz w:val="28"/>
          <w:szCs w:val="28"/>
        </w:rPr>
        <w:t>исходно – разрешительной документации.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3.2.3.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права ограниченного пользования соседними участками на время строительства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3.2.4.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hAnsi="Times New Roman" w:cs="Times New Roman"/>
          <w:sz w:val="28"/>
          <w:szCs w:val="28"/>
        </w:rPr>
        <w:t>согласования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 культурного наследия в установленном законодательством порядке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3.2.5.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технических условий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Проверять состав проектной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Проверять  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рабочей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Выявлять нарушения и несоответствия в </w:t>
      </w:r>
      <w:r w:rsidR="007122FC" w:rsidRPr="00D92D39">
        <w:rPr>
          <w:rFonts w:ascii="Times New Roman" w:hAnsi="Times New Roman" w:cs="Times New Roman"/>
          <w:color w:val="000001"/>
          <w:sz w:val="28"/>
          <w:szCs w:val="28"/>
        </w:rPr>
        <w:t>геодезической разбивочной основе</w:t>
      </w:r>
      <w:r w:rsidRPr="00D92D39"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его основании предъявлять претензии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Формировать комплект документов по инженерным изысканиям, проектной документации для передачи лицу, осуществляющему строительство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3.2.11.</w:t>
      </w:r>
      <w:r w:rsidR="00D22102">
        <w:rPr>
          <w:rFonts w:ascii="Times New Roman" w:hAnsi="Times New Roman" w:cs="Times New Roman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потребность требуемого количества, профессионального и квалификационного состава работников в соответствии </w:t>
      </w:r>
      <w:r w:rsidR="00135A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производственными заданиями и календарными планами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работниками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Контролировать выполнение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профессиональную квалификацию работников и определять недостающие компетенции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Готовить локальные нормативные акты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вычислительную и иную вспомогательную технику, средства связи и коммуникаций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измерительную аппаратуру контроля свойств строительных материалов и изделий.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исполнительную документацию и выявление несоответствий в ней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3.2.20.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результаты проверки качест</w:t>
      </w:r>
      <w:r w:rsidR="00135A8F">
        <w:rPr>
          <w:rFonts w:ascii="Times New Roman" w:hAnsi="Times New Roman" w:cs="Times New Roman"/>
          <w:sz w:val="28"/>
          <w:szCs w:val="28"/>
        </w:rPr>
        <w:t xml:space="preserve">ва строительно-монтажных работ </w:t>
      </w:r>
      <w:r w:rsidR="007122FC" w:rsidRPr="00D92D39">
        <w:rPr>
          <w:rFonts w:ascii="Times New Roman" w:hAnsi="Times New Roman" w:cs="Times New Roman"/>
          <w:sz w:val="28"/>
          <w:szCs w:val="28"/>
        </w:rPr>
        <w:t>и принятия по ним решений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3.2.21.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Принимать обоснованные решения о приостановлении строительства объекта по результатам проверок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Вести переговоры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Определять приоритетность процессов при взаимодействии </w:t>
      </w:r>
      <w:r w:rsidR="00135A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подрядными организациями, надзорными органами, органами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их основании предъявлять претензии подрядным организациям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Принимать решения о необходимости консервации объекта или приостановке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Выстраивать эффективные коммуникации в процессе реализации проекта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Отстаивать и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нтересы технического заказчика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 основным направлениям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 для согласования с представителями организаций, осуществляющих эксплуатацию сетей инженерно-технического обеспечения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подтверждающих соответствие построенного, реконструированного объекта капитального строительства ранее выданным техническим условиям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схемы отражающие расположение построенного, реконструированного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расположения сетей инженерно-технического обеспечения в границах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планировочной организации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строительного надзора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экологического надзора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на выдачу разрешения на ввод объекта капитального строительства в эксплуатацию</w:t>
      </w:r>
      <w:r w:rsidR="008B0138"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документы для постановки на государственный учет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внесения изменений в документы государственного учета реконструированного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E0934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 xml:space="preserve">Составлять документы для подтверждения выполнения </w:t>
      </w:r>
      <w:r w:rsidR="00B7241C" w:rsidRPr="00D92D39">
        <w:rPr>
          <w:rFonts w:ascii="Times New Roman" w:hAnsi="Times New Roman" w:cs="Times New Roman"/>
          <w:sz w:val="28"/>
          <w:szCs w:val="28"/>
        </w:rPr>
        <w:lastRenderedPageBreak/>
        <w:t>требований по энергоэффективности зданий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B0138" w:rsidRPr="00D92D39" w:rsidRDefault="008B0138" w:rsidP="00D92D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4241" w:rsidRPr="00D92D39" w:rsidRDefault="00E530DB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D92D39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92444F" w:rsidRPr="00D92D39" w:rsidRDefault="0092444F" w:rsidP="00D92D39">
      <w:pPr>
        <w:pStyle w:val="aa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D92D39" w:rsidRDefault="00E530DB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F34C3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D92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74865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D92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: автоматизация и комплексная механизация строительства (код 0638), архитектура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07.03.01, 07.04.01, 07.06.01, 07.07.01, 0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>ализация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водоснабжение, канализация, рациональное использование и охрана водных ресурсов (код 29.08), высоковольтная электроэнергетика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и электротехника (коды 071600, 140201), гидротехническое строительство (коды 27010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04.04, 270400, 270900,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355E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коды 101300,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16.01),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 подъемно-транспортные, строительные, дорожные машины и оборудование (коды 15.04,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170900,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190205),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>ного стро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ительства 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 08.04.011, 219,270100, 270800, 550100, 653500),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горных предприятий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210),   строительство тепловых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и атомных станций ( код 29.12),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0305,100500, 10.05,140101),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(коды 08.06.01,08.07.01), транс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>портное строительство (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управление на предприятии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(по отраслям) (коды 060800, 080502),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09.04,130406), экономика и организация строительства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1721), экономика 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в строительстве (код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07.08),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140204);</w:t>
      </w:r>
    </w:p>
    <w:p w:rsidR="0092444F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D92D39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повышения квалификации </w:t>
      </w:r>
      <w:r w:rsidR="00787653" w:rsidRPr="00D92D39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D92D39" w:rsidRDefault="00D22102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530DB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D92D39" w:rsidRDefault="000356F7" w:rsidP="00D92D39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D92D39" w:rsidRDefault="00E530DB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D92D39" w:rsidRDefault="004A7A5B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лавном инженере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о специалисте по организации строительства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ном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реестр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4A7A5B" w:rsidRDefault="004A7A5B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D92D39" w:rsidRDefault="00BE11E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4A7A5B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BE11E9" w:rsidRPr="00D92D39" w:rsidRDefault="00BE11E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D92D39" w:rsidRDefault="00BE11E9" w:rsidP="00D92D3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05A8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Уро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="00705A8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лавного инженера </w:t>
      </w:r>
      <w:bookmarkStart w:id="2" w:name="_GoBack"/>
      <w:bookmarkEnd w:id="2"/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D92D39" w:rsidRDefault="00BE11E9" w:rsidP="00D92D3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DA5C99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DA5C99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56" w:rsidRDefault="00144A56" w:rsidP="00337D05">
      <w:r>
        <w:separator/>
      </w:r>
    </w:p>
  </w:endnote>
  <w:endnote w:type="continuationSeparator" w:id="0">
    <w:p w:rsidR="00144A56" w:rsidRDefault="00144A5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1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56" w:rsidRDefault="00144A56" w:rsidP="00337D05">
      <w:r>
        <w:separator/>
      </w:r>
    </w:p>
  </w:footnote>
  <w:footnote w:type="continuationSeparator" w:id="0">
    <w:p w:rsidR="00144A56" w:rsidRDefault="00144A5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60AA6"/>
    <w:rsid w:val="000617F7"/>
    <w:rsid w:val="00064035"/>
    <w:rsid w:val="00064EA3"/>
    <w:rsid w:val="00071216"/>
    <w:rsid w:val="00073F72"/>
    <w:rsid w:val="00074865"/>
    <w:rsid w:val="00080171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5A8F"/>
    <w:rsid w:val="00140633"/>
    <w:rsid w:val="00142DC4"/>
    <w:rsid w:val="001435CA"/>
    <w:rsid w:val="00143C1B"/>
    <w:rsid w:val="00144A56"/>
    <w:rsid w:val="00146867"/>
    <w:rsid w:val="00152D3C"/>
    <w:rsid w:val="00156340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A7A5B"/>
    <w:rsid w:val="004B3E42"/>
    <w:rsid w:val="004B728C"/>
    <w:rsid w:val="004C2719"/>
    <w:rsid w:val="004D04B0"/>
    <w:rsid w:val="004D0ED5"/>
    <w:rsid w:val="004D28AC"/>
    <w:rsid w:val="004E1C28"/>
    <w:rsid w:val="004E2AD2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12C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73BCE"/>
    <w:rsid w:val="00673C7F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87653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1489F"/>
    <w:rsid w:val="0082480B"/>
    <w:rsid w:val="00830362"/>
    <w:rsid w:val="008319BE"/>
    <w:rsid w:val="00851D8F"/>
    <w:rsid w:val="00852BC3"/>
    <w:rsid w:val="00853D97"/>
    <w:rsid w:val="0085612D"/>
    <w:rsid w:val="00866F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16C2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241C"/>
    <w:rsid w:val="00B73C75"/>
    <w:rsid w:val="00B749C1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102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D39"/>
    <w:rsid w:val="00D92FB3"/>
    <w:rsid w:val="00D95018"/>
    <w:rsid w:val="00D95037"/>
    <w:rsid w:val="00D962C1"/>
    <w:rsid w:val="00DA42EF"/>
    <w:rsid w:val="00DA4D59"/>
    <w:rsid w:val="00DA5C99"/>
    <w:rsid w:val="00DB5C47"/>
    <w:rsid w:val="00DB74AD"/>
    <w:rsid w:val="00DC52C9"/>
    <w:rsid w:val="00DD161A"/>
    <w:rsid w:val="00DD2504"/>
    <w:rsid w:val="00DD3400"/>
    <w:rsid w:val="00DD78ED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41C9D"/>
    <w:rsid w:val="00E47898"/>
    <w:rsid w:val="00E52DDC"/>
    <w:rsid w:val="00E530DB"/>
    <w:rsid w:val="00E57122"/>
    <w:rsid w:val="00E6148E"/>
    <w:rsid w:val="00E735CE"/>
    <w:rsid w:val="00E801C8"/>
    <w:rsid w:val="00E93F8D"/>
    <w:rsid w:val="00EA0DEF"/>
    <w:rsid w:val="00EA3558"/>
    <w:rsid w:val="00EA496C"/>
    <w:rsid w:val="00EB76FF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34C3F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C29"/>
  <w15:docId w15:val="{77261967-32F7-4A4F-BC7C-84D485E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7CCB-143B-4CF6-95B0-0AA2B36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25</cp:revision>
  <cp:lastPrinted>2018-12-02T14:49:00Z</cp:lastPrinted>
  <dcterms:created xsi:type="dcterms:W3CDTF">2018-12-04T07:35:00Z</dcterms:created>
  <dcterms:modified xsi:type="dcterms:W3CDTF">2019-02-07T10:51:00Z</dcterms:modified>
</cp:coreProperties>
</file>